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drawing>
          <wp:inline distT="0" distB="0" distL="0" distR="0">
            <wp:extent cx="1409700" cy="140970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GRUPO MUNICIPAL ESQUERDA UNIDA – SON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cs="Arial-BoldMT" w:ascii="Arial-BoldMT" w:hAnsi="Arial-BoldMT"/>
          <w:b/>
          <w:bCs/>
        </w:rPr>
      </w:pPr>
      <w:r>
        <w:rPr>
          <w:rFonts w:cs="Arial-BoldMT" w:ascii="Arial-BoldMT" w:hAnsi="Arial-BoldMT"/>
          <w:b/>
          <w:bCs/>
        </w:rPr>
        <w:t>AO PLENO DO CONCELLO DE BAIONA</w:t>
      </w:r>
    </w:p>
    <w:p>
      <w:pPr>
        <w:pStyle w:val="Normal"/>
        <w:spacing w:lineRule="auto" w:line="240" w:before="0" w:after="0"/>
        <w:rPr>
          <w:rFonts w:cs="Arial-BoldMT" w:ascii="Arial-BoldMT" w:hAnsi="Arial-BoldMT"/>
          <w:b/>
          <w:bCs/>
        </w:rPr>
      </w:pPr>
      <w:r>
        <w:rPr>
          <w:rFonts w:cs="Arial-BoldMT" w:ascii="Arial-BoldMT" w:hAnsi="Arial-BoldMT"/>
          <w:b/>
          <w:bCs/>
        </w:rPr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 xml:space="preserve">O Grupo municipal de Esquerda Unida - Son no Concello de Baiona presenta para a súa discusión e aprobación, se procede, a </w:t>
      </w:r>
      <w:r>
        <w:rPr>
          <w:rFonts w:cs="Arial-BoldMT" w:ascii="Arial-BoldMT" w:hAnsi="Arial-BoldMT"/>
          <w:b/>
          <w:bCs/>
        </w:rPr>
        <w:t xml:space="preserve">MOCIÓN </w:t>
      </w:r>
      <w:r>
        <w:rPr>
          <w:rFonts w:cs="ArialMT" w:ascii="ArialMT" w:hAnsi="ArialMT"/>
        </w:rPr>
        <w:t xml:space="preserve">relativa á Declaración de </w:t>
      </w:r>
      <w:r>
        <w:rPr>
          <w:rFonts w:cs="Arial-BoldItalicMT" w:ascii="Arial-BoldItalicMT" w:hAnsi="Arial-BoldItalicMT"/>
          <w:b/>
          <w:bCs/>
          <w:i/>
          <w:iCs/>
          <w:lang w:bidi="he-IL"/>
        </w:rPr>
        <w:t xml:space="preserve">“ Municipio oposto ao Acordo Transatlántico deComercio e Investimento (en inglés TTIP)” </w:t>
      </w:r>
      <w:r>
        <w:rPr>
          <w:rFonts w:cs="ArialMT" w:ascii="ArialMT" w:hAnsi="ArialMT"/>
        </w:rPr>
        <w:t>, de acordo á seguinte fundamentación: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cs="Arial-BoldMT" w:ascii="Arial-BoldMT" w:hAnsi="Arial-BoldMT"/>
          <w:b/>
          <w:bCs/>
        </w:rPr>
      </w:pPr>
      <w:r>
        <w:rPr>
          <w:rFonts w:cs="Arial-BoldMT" w:ascii="Arial-BoldMT" w:hAnsi="Arial-BoldMT"/>
          <w:b/>
          <w:bCs/>
        </w:rPr>
        <w:t>EXPOSICIÓN DE MOTIVOS</w:t>
      </w:r>
    </w:p>
    <w:p>
      <w:pPr>
        <w:pStyle w:val="Normal"/>
        <w:spacing w:lineRule="auto" w:line="240" w:before="0" w:after="0"/>
        <w:rPr>
          <w:rFonts w:cs="Arial-BoldMT" w:ascii="Arial-BoldMT" w:hAnsi="Arial-BoldMT"/>
          <w:b/>
          <w:bCs/>
        </w:rPr>
      </w:pPr>
      <w:r>
        <w:rPr>
          <w:rFonts w:cs="Arial-BoldMT" w:ascii="Arial-BoldMT" w:hAnsi="Arial-BoldMT"/>
          <w:b/>
          <w:bCs/>
        </w:rPr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A Comisión Europea iniciou a negociación cos Estados Unidos (EEUU) para o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desenvolvemento do Tratado Transatlántico de Comercio e Investimentos (en inglés TTIP) en 2013. Desde entón, a UE e EEUU están a negociar, de costas á cidadanía e aos seus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representantes políticos (parlamentos), un amplo acordo de liberalización de comercio e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investimentos, que representa un serio perigo para a democracia, a soberanía e a debida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protección dos dereitos humanos e a natureza, antepondo o interese comercial dosinvestidores e empresas transnacionais (ETN) ao interese xeral.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O TTIP inclúe medidas para a protección dos investidores a través de Mecanismos de Arbitraxe Inversor Estado(ISDS) que establecerán compensacións económicas dos estados aos investidores cando se reduzan os beneficios futuros dunha compañía (aínda que isto implique a desprotección de dereitos laborais ou da natureza), e onde, ademais dos altos custos, as decisións son firmes e non poden ser apeladas.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Á cidadanía interésalle que os servizos públicos sexan eficientes para asegurar unha boa calidade de vida. O Tratado de Lisboa concede aos Estados Membros da UE a competencia para definir e organizar os servizos do interese xeral. En contraste con iso, os acordos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comerciais implican a miúdo o risco de restrinxir as políticas públicas con “cláusulas freo”,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especialmente no campo dos servizos públicos.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Calquera clase de acordo, incluíndo a contratación pública debe conducir a aumentar as garantías e non a reducilas. O TTIP non debe, á súa vez, pór en perigo os aspectos progresivos da lei de contratación pública da UE, xa que estes permiten que se realicen as contratacións públicas, tendo non só en conta o prezo senón tamén outros aspectos como os ambientais e os sociais.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O TTIP, ao perseguir a liberalización total dos servizos públicos e a apertura de prestación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dos mesmos ás ETN, así como ás compras e licitacións de bens e servizos das Administracións Públicas, pon en perigo todos os servizos e compras públicas, en todos os niveis de poder, e compromete a habilidade dos representantes elixidos para administrar libremente as súas comunidades, así como promocionar a industria, emprego e iniciativas locais.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Deste xeito, as leis do comercio priman sobre calquera outra consideración social, e ignoran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calquera lexislación continental, estatal, nacional, rexional ou local. As comunidades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jc w:val="center"/>
        <w:rPr>
          <w:rFonts w:cs="ArialMT" w:ascii="ArialMT" w:hAnsi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jc w:val="center"/>
        <w:rPr>
          <w:rFonts w:cs="ArialMT" w:ascii="ArialMT" w:hAnsi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1409700" cy="140970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atópanse dominadas por axustes estruturais restritivos debidos aos acordos e as políticas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de libre comercio e de protección do investidor. Esta lóxica desmantela os servizos públicos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e suprime a liberdade dos poderes locais para fornecer os servizos públicos e satisfacer as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necesidades sociais das súas poboacións, atendendo a políticas e plans de desenvolvemento industrial e de fomento da industria e emprego locais.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As cidades e os municipios europeos recoñecen a importancia do comercio de mercadorías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e de servizos para o benestar da cidadanía. Con todo, a competitividade e o desenvolvemento económico non deberían ser os únicos criterios para determinar os acordos comerciais tales como o TTIP. Así mesmo, os aspectos ecolóxicos e sociais teñen que ser considerados en calquera negociación comercial bilateral.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As Administracións Locais: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 xml:space="preserve">● </w:t>
      </w:r>
      <w:r>
        <w:rPr>
          <w:rFonts w:cs="ArialMT" w:ascii="ArialMT" w:hAnsi="ArialMT"/>
        </w:rPr>
        <w:t>ao estar preto das necesidades dos seus pobos, teñen o deber de inxerencia e de resposta respecto do que planea o TTIP, se non queren ser corresponsables de poñer ás persoas e ao planeta en perigo.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 xml:space="preserve">● </w:t>
      </w:r>
      <w:r>
        <w:rPr>
          <w:rFonts w:cs="ArialMT" w:ascii="ArialMT" w:hAnsi="ArialMT"/>
        </w:rPr>
        <w:t>sendo as canles adecuadas para promover os servizos públicos e a industria e emprego locais, esfórzanse para a súa promoción como resposta ao interese común.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 xml:space="preserve">● </w:t>
      </w:r>
      <w:r>
        <w:rPr>
          <w:rFonts w:cs="ArialMT" w:ascii="ArialMT" w:hAnsi="ArialMT"/>
        </w:rPr>
        <w:t>están obrigadas a resolver os retos sociais, económicos e ambientais e, conseguintemente, a defender a universalidade dos servizos públicos e a protección da cidadanía.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As colectividades locais desexan ampliar o debate público e democrático sobre o que está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verdadeiramente en xogo tras este Tratado e a sorte que correrán os servizos e compras públicos: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 xml:space="preserve">● </w:t>
      </w:r>
      <w:r>
        <w:rPr>
          <w:rFonts w:cs="ArialMT" w:ascii="ArialMT" w:hAnsi="ArialMT"/>
        </w:rPr>
        <w:t>o comercio e o investimento soamente poden contribuír ao ben común e conducir a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intercambios económica e socialmente beneficiosos se respecta as necesidades humanas en todo lugar, e non se basea no beneficio dos especuladores financeiros e das empresas multinacionais.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 xml:space="preserve">● </w:t>
      </w:r>
      <w:r>
        <w:rPr>
          <w:rFonts w:cs="ArialMT" w:ascii="ArialMT" w:hAnsi="ArialMT"/>
        </w:rPr>
        <w:t>a eliminación programada e progresiva dos servizos públicos é ao mesmo tempo a eliminación programada e progresiva da solidariedade e a democracia.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 xml:space="preserve">● </w:t>
      </w:r>
      <w:r>
        <w:rPr>
          <w:rFonts w:cs="ArialMT" w:ascii="ArialMT" w:hAnsi="ArialMT"/>
        </w:rPr>
        <w:t>a apertura máxima dos servizos e as compras públicas á competencia produce efectos contraproducentes en canto á súa accesibilidade, a súa calidade e o seu custo.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 xml:space="preserve">● </w:t>
      </w:r>
      <w:r>
        <w:rPr>
          <w:rFonts w:cs="ArialMT" w:ascii="ArialMT" w:hAnsi="ArialMT"/>
        </w:rPr>
        <w:t>os dereitos sociais son dereitos inalienables, polo que non poden depender exclusivamente da lóxica do mercado.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 xml:space="preserve">● </w:t>
      </w:r>
      <w:r>
        <w:rPr>
          <w:rFonts w:cs="ArialMT" w:ascii="ArialMT" w:hAnsi="ArialMT"/>
        </w:rPr>
        <w:t>só a existencia diversificada de servizos públicos socialmente útiles, permite asegurar unha calidade de vida digna para todos e en todas partes, en estreito nexo co exercicio real da democracia.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 xml:space="preserve">● </w:t>
      </w:r>
      <w:r>
        <w:rPr>
          <w:rFonts w:cs="ArialMT" w:ascii="ArialMT" w:hAnsi="ArialMT"/>
        </w:rPr>
        <w:t>o control público debe preservarse para garantir o acceso aos bens comúns e á creación de novos servizos públicos, así como para favorecer a industria e emprego locais.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Por todo o anteriormente exposto, o grupo municipal de Esquerda Unida – Son somete á consideración do Pleno do Excmo. Concello de Baiona a seguinte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cs="Arial-BoldMT" w:ascii="Arial-BoldMT" w:hAnsi="Arial-BoldMT"/>
          <w:b/>
          <w:bCs/>
        </w:rPr>
      </w:pPr>
      <w:r>
        <w:rPr>
          <w:rFonts w:cs="Arial-BoldMT" w:ascii="Arial-BoldMT" w:hAnsi="Arial-BoldMT"/>
          <w:b/>
          <w:bCs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1409700" cy="1409700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cs="Arial-BoldMT" w:ascii="Arial-BoldMT" w:hAnsi="Arial-BoldMT"/>
          <w:b/>
          <w:bCs/>
        </w:rPr>
      </w:pPr>
      <w:r>
        <w:rPr>
          <w:rFonts w:cs="Arial-BoldMT" w:ascii="Arial-BoldMT" w:hAnsi="Arial-BoldMT"/>
          <w:b/>
          <w:bCs/>
        </w:rPr>
        <w:t>MOCIÓN</w:t>
      </w:r>
    </w:p>
    <w:p>
      <w:pPr>
        <w:pStyle w:val="Normal"/>
        <w:spacing w:lineRule="auto" w:line="240" w:before="0" w:after="0"/>
        <w:jc w:val="center"/>
        <w:rPr>
          <w:rFonts w:cs="Arial-BoldMT" w:ascii="Arial-BoldMT" w:hAnsi="Arial-BoldMT"/>
          <w:b/>
          <w:bCs/>
        </w:rPr>
      </w:pPr>
      <w:r>
        <w:rPr>
          <w:rFonts w:cs="Arial-BoldMT" w:ascii="Arial-BoldMT" w:hAnsi="Arial-BoldMT"/>
          <w:b/>
          <w:bCs/>
        </w:rPr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 xml:space="preserve">1. Declarar ao Municipio de Baiona como </w:t>
      </w:r>
      <w:r>
        <w:rPr>
          <w:rFonts w:cs="Arial-BoldItalicMT" w:ascii="Arial-BoldItalicMT" w:hAnsi="Arial-BoldItalicMT"/>
          <w:b/>
          <w:bCs/>
          <w:i/>
          <w:iCs/>
          <w:lang w:bidi="he-IL"/>
        </w:rPr>
        <w:t xml:space="preserve">“ Municipio oposto ao Acordo Transatlántico de Comercio e Investimento (en inglés TTIP)” </w:t>
      </w:r>
      <w:r>
        <w:rPr>
          <w:rFonts w:cs="ArialMT" w:ascii="ArialMT" w:hAnsi="ArialMT"/>
        </w:rPr>
        <w:t>,defendendo os servizos públicos básicos para a solidariedade e redistribución social.</w:t>
      </w:r>
    </w:p>
    <w:p>
      <w:pPr>
        <w:pStyle w:val="Normal"/>
        <w:spacing w:lineRule="auto" w:line="240" w:before="0" w:after="0"/>
        <w:rPr>
          <w:rFonts w:cs="Arial-BoldMT" w:ascii="Arial-BoldMT" w:hAnsi="Arial-BoldMT"/>
          <w:b/>
          <w:bCs/>
        </w:rPr>
      </w:pPr>
      <w:r>
        <w:rPr>
          <w:rFonts w:cs="ArialMT" w:ascii="ArialMT" w:hAnsi="ArialMT"/>
        </w:rPr>
        <w:t xml:space="preserve">2. Solicitar do Ministerio de Facenda e Administracións Públicas do Goberno de España o seu apoio a todas as iniciativas dirixidas a manter o carácter público dos chamados </w:t>
      </w:r>
      <w:r>
        <w:rPr>
          <w:rFonts w:cs="Arial-BoldMT" w:ascii="Arial-BoldMT" w:hAnsi="Arial-BoldMT"/>
          <w:b/>
          <w:bCs/>
        </w:rPr>
        <w:t>servizos socialmente útiles.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>3. Solicitar do Ministerio de Economía e Competitividade do Goberno de España a suspensión das negociacións do TTIP e outros acordos comerciais similares, coa finalidade de conseguir que: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 xml:space="preserve">● </w:t>
      </w:r>
      <w:r>
        <w:rPr>
          <w:rFonts w:cs="ArialMT" w:ascii="ArialMT" w:hAnsi="ArialMT"/>
        </w:rPr>
        <w:t>mecanismos como o ISDS ou similares non sexan incluídos neste nin en ningún outro Tratado.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 xml:space="preserve">● </w:t>
      </w:r>
      <w:r>
        <w:rPr>
          <w:rFonts w:cs="ArialMT" w:ascii="ArialMT" w:hAnsi="ArialMT"/>
        </w:rPr>
        <w:t>se defenda a actual política reguladora da UE e dos seus estados membros, de xeito que non se perdan competencias en materias de lexislación social, protección ao consumidor e medio ambiente.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 xml:space="preserve">● </w:t>
      </w:r>
      <w:r>
        <w:rPr>
          <w:rFonts w:cs="ArialMT" w:ascii="ArialMT" w:hAnsi="ArialMT"/>
        </w:rPr>
        <w:t>o Tratado non se limite a obxectivos meramente económicos e que lle dea a mesma importancia e consideración aos obxectivos sociais e aos ambientais.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 xml:space="preserve">● </w:t>
      </w:r>
      <w:r>
        <w:rPr>
          <w:rFonts w:cs="ArialMT" w:ascii="ArialMT" w:hAnsi="ArialMT"/>
        </w:rPr>
        <w:t>se termine a actual falta de transparencia das negociacións, se faga pública toda a información e se abra un debate público na UE e nos seus respectivos parlamentos nacionais.</w:t>
      </w:r>
    </w:p>
    <w:p>
      <w:pPr>
        <w:pStyle w:val="Normal"/>
        <w:spacing w:lineRule="auto" w:line="240" w:before="0" w:after="0"/>
        <w:rPr>
          <w:rFonts w:cs="ArialMT" w:ascii="ArialMT" w:hAnsi="ArialMT"/>
        </w:rPr>
      </w:pPr>
      <w:r>
        <w:rPr>
          <w:rFonts w:cs="ArialMT" w:ascii="ArialMT" w:hAnsi="ArialMT"/>
        </w:rPr>
        <w:t xml:space="preserve">● </w:t>
      </w:r>
      <w:r>
        <w:rPr>
          <w:rFonts w:cs="ArialMT" w:ascii="ArialMT" w:hAnsi="ArialMT"/>
        </w:rPr>
        <w:t>os servizos públicos e a propiedade intelectual sexan excluídos do Tratado.</w:t>
      </w:r>
    </w:p>
    <w:p>
      <w:pPr>
        <w:pStyle w:val="Normal"/>
        <w:rPr>
          <w:rFonts w:cs="ArialMT" w:ascii="ArialMT" w:hAnsi="ArialMT"/>
        </w:rPr>
      </w:pPr>
      <w:r>
        <w:rPr>
          <w:rFonts w:cs="ArialMT" w:ascii="ArialMT" w:hAnsi="ArialMT"/>
        </w:rPr>
      </w:r>
    </w:p>
    <w:p>
      <w:pPr>
        <w:pStyle w:val="Normal"/>
        <w:rPr>
          <w:rFonts w:cs="ArialMT" w:ascii="ArialMT" w:hAnsi="ArialMT"/>
        </w:rPr>
      </w:pPr>
      <w:r>
        <w:rPr>
          <w:rFonts w:cs="ArialMT" w:ascii="ArialMT" w:hAnsi="ArialMT"/>
        </w:rPr>
        <w:t>Baiona, 3 de Novembro de 2015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  <w:t>Fdo.: Silvano Montes Sánchez</w:t>
      </w:r>
    </w:p>
    <w:p>
      <w:pPr>
        <w:pStyle w:val="Normal"/>
        <w:rPr/>
      </w:pPr>
      <w:r>
        <w:rPr/>
        <w:t>Portavoz do Grupo Municipal EU-SON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SR. ALCALDE-PRESIDENTE DO CONCELLO DE BAIONA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-BoldMT">
    <w:charset w:val="01"/>
    <w:family w:val="roman"/>
    <w:pitch w:val="variable"/>
  </w:font>
  <w:font w:name="ArialMT">
    <w:charset w:val="01"/>
    <w:family w:val="roman"/>
    <w:pitch w:val="variable"/>
  </w:font>
  <w:font w:name="Arial-BoldItalic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FreeSans"/>
    </w:rPr>
  </w:style>
  <w:style w:type="paragraph" w:styleId="Lenda">
    <w:name w:val="L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2015-11-03T10:12:00Z</dcterms:created>
  <dc:creator>Silvano Montes Sanchez</dc:creator>
  <dc:language>gl-ES</dc:language>
  <cp:lastModifiedBy>Silvano Montes Sanchez</cp:lastModifiedBy>
  <dcterms:modified xsi:type="dcterms:W3CDTF">2015-11-03T10:23:00Z</dcterms:modified>
  <cp:revision>3</cp:revision>
</cp:coreProperties>
</file>